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37" w:rsidRDefault="00F13E37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3E37" w:rsidRPr="00F13E37" w:rsidRDefault="00F13E37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146" w:type="dxa"/>
        <w:tblLayout w:type="fixed"/>
        <w:tblLook w:val="0000" w:firstRow="0" w:lastRow="0" w:firstColumn="0" w:lastColumn="0" w:noHBand="0" w:noVBand="0"/>
      </w:tblPr>
      <w:tblGrid>
        <w:gridCol w:w="793"/>
        <w:gridCol w:w="733"/>
        <w:gridCol w:w="183"/>
        <w:gridCol w:w="465"/>
        <w:gridCol w:w="1726"/>
        <w:gridCol w:w="517"/>
        <w:gridCol w:w="5729"/>
      </w:tblGrid>
      <w:tr w:rsidR="00F13E37" w:rsidRPr="00F13E37" w:rsidTr="000917BA">
        <w:trPr>
          <w:trHeight w:val="1430"/>
        </w:trPr>
        <w:tc>
          <w:tcPr>
            <w:tcW w:w="390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eastAsia="Batang" w:hAnsi="Times New Roman" w:cs="Times New Roman"/>
                <w:b/>
              </w:rPr>
              <w:t>ГУ МВД России по Свердловской области</w:t>
            </w:r>
          </w:p>
          <w:p w:rsidR="00F13E37" w:rsidRPr="00F13E37" w:rsidRDefault="00F13E37" w:rsidP="006B370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eastAsia="Batang" w:hAnsi="Times New Roman" w:cs="Times New Roman"/>
                <w:b/>
              </w:rPr>
              <w:t>Межмуниципальный отдел</w:t>
            </w:r>
          </w:p>
          <w:p w:rsidR="00F13E37" w:rsidRPr="00F13E37" w:rsidRDefault="00F13E37" w:rsidP="006B370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eastAsia="Batang" w:hAnsi="Times New Roman" w:cs="Times New Roman"/>
                <w:b/>
              </w:rPr>
              <w:t xml:space="preserve">Министерства внутренних дел Российской Федерации «Ирбитский» </w:t>
            </w:r>
          </w:p>
          <w:p w:rsidR="00F13E37" w:rsidRPr="00F13E37" w:rsidRDefault="00F13E37" w:rsidP="006B370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  <w:b/>
              </w:rPr>
              <w:t xml:space="preserve"> </w:t>
            </w:r>
            <w:r w:rsidRPr="00F13E37">
              <w:rPr>
                <w:rFonts w:ascii="Times New Roman" w:eastAsia="Batang" w:hAnsi="Times New Roman" w:cs="Times New Roman"/>
                <w:b/>
              </w:rPr>
              <w:t>(МО МВД России «Ирбитский»)</w:t>
            </w:r>
          </w:p>
        </w:tc>
        <w:tc>
          <w:tcPr>
            <w:tcW w:w="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Образованием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МО г. Ирбит 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b/>
                <w:sz w:val="26"/>
                <w:szCs w:val="26"/>
              </w:rPr>
              <w:t>Ю.Н. Лыжиной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Образованием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Ирбитского МО      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b/>
                <w:sz w:val="26"/>
                <w:szCs w:val="26"/>
              </w:rPr>
              <w:t>Н.В. Черемисиной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Директорам, заведующим </w:t>
            </w:r>
          </w:p>
          <w:p w:rsidR="00F13E37" w:rsidRPr="00DA60AF" w:rsidRDefault="00F13E37" w:rsidP="006B3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0AF"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</w:t>
            </w:r>
          </w:p>
        </w:tc>
      </w:tr>
      <w:tr w:rsidR="00F13E37" w:rsidRPr="00F13E37" w:rsidTr="000917BA">
        <w:trPr>
          <w:trHeight w:hRule="exact" w:val="435"/>
        </w:trPr>
        <w:tc>
          <w:tcPr>
            <w:tcW w:w="390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  <w:sz w:val="20"/>
                <w:szCs w:val="20"/>
              </w:rPr>
              <w:t>ул. 50 лет Октября, 17, г. Ирбит,</w:t>
            </w:r>
          </w:p>
          <w:p w:rsidR="00F13E37" w:rsidRPr="00F13E37" w:rsidRDefault="00F13E37" w:rsidP="006B370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623850</w:t>
            </w:r>
          </w:p>
          <w:p w:rsidR="00F13E37" w:rsidRPr="00F13E37" w:rsidRDefault="00F13E37" w:rsidP="006B370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E37" w:rsidRPr="00F13E37" w:rsidRDefault="00F13E37" w:rsidP="006B370A">
            <w:pPr>
              <w:ind w:right="-2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E37" w:rsidRPr="00F13E37" w:rsidTr="000917BA">
        <w:trPr>
          <w:trHeight w:hRule="exact" w:val="298"/>
        </w:trPr>
        <w:tc>
          <w:tcPr>
            <w:tcW w:w="152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3E37" w:rsidRPr="00F13E37" w:rsidRDefault="000917BA" w:rsidP="006B370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18.02.2021</w:t>
            </w:r>
          </w:p>
        </w:tc>
        <w:tc>
          <w:tcPr>
            <w:tcW w:w="6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F13E37" w:rsidRPr="00F13E37" w:rsidRDefault="00F13E37" w:rsidP="006B370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3E37" w:rsidRPr="00F13E37" w:rsidRDefault="000917BA" w:rsidP="006B370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</w:t>
            </w:r>
          </w:p>
        </w:tc>
        <w:tc>
          <w:tcPr>
            <w:tcW w:w="5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E37" w:rsidRPr="00F13E37" w:rsidTr="000917BA">
        <w:trPr>
          <w:trHeight w:hRule="exact" w:val="1027"/>
        </w:trPr>
        <w:tc>
          <w:tcPr>
            <w:tcW w:w="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F13E37" w:rsidRPr="00F13E37" w:rsidRDefault="00F13E37" w:rsidP="006B370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</w:rPr>
              <w:t>На №</w:t>
            </w:r>
          </w:p>
        </w:tc>
        <w:tc>
          <w:tcPr>
            <w:tcW w:w="91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3E37" w:rsidRPr="00F13E37" w:rsidRDefault="00F13E37" w:rsidP="006B370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F13E37" w:rsidRPr="00F13E37" w:rsidRDefault="00F13E37" w:rsidP="006B370A">
            <w:pPr>
              <w:tabs>
                <w:tab w:val="left" w:pos="9099"/>
              </w:tabs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3E37" w:rsidRPr="00F13E37" w:rsidRDefault="00F13E37" w:rsidP="006B370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E37" w:rsidRPr="00F13E37" w:rsidTr="000917BA">
        <w:trPr>
          <w:trHeight w:hRule="exact" w:val="1186"/>
        </w:trPr>
        <w:tc>
          <w:tcPr>
            <w:tcW w:w="390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ind w:right="-217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</w:rPr>
              <w:t>┌                                                           ┐</w:t>
            </w:r>
          </w:p>
          <w:p w:rsidR="00F13E37" w:rsidRPr="00F13E37" w:rsidRDefault="00F13E37" w:rsidP="006B370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 w:rsidRPr="00F13E37">
              <w:rPr>
                <w:rFonts w:ascii="Times New Roman" w:hAnsi="Times New Roman" w:cs="Times New Roman"/>
              </w:rPr>
              <w:t>Анализ ДДТТ</w:t>
            </w:r>
          </w:p>
        </w:tc>
        <w:tc>
          <w:tcPr>
            <w:tcW w:w="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F13E37" w:rsidRPr="00F13E37" w:rsidRDefault="00F13E37" w:rsidP="006B370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E37" w:rsidRPr="00DA60AF" w:rsidRDefault="00F13E37" w:rsidP="00DD44C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F13E37" w:rsidRPr="00DA60AF" w:rsidRDefault="00F13E37" w:rsidP="00DD44C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DA60AF" w:rsidRDefault="00F13E37" w:rsidP="00DD44C6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A60AF"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F13E37" w:rsidRPr="00DA60AF" w:rsidRDefault="00F13E37" w:rsidP="00DD44C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b/>
          <w:i/>
          <w:sz w:val="26"/>
          <w:szCs w:val="26"/>
        </w:rPr>
        <w:t xml:space="preserve"> за 1 месяц 202</w:t>
      </w:r>
      <w:r w:rsidR="00DD44C6" w:rsidRPr="00DA60A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DA60AF">
        <w:rPr>
          <w:rFonts w:ascii="Times New Roman" w:hAnsi="Times New Roman" w:cs="Times New Roman"/>
          <w:b/>
          <w:i/>
          <w:sz w:val="26"/>
          <w:szCs w:val="26"/>
        </w:rPr>
        <w:t xml:space="preserve"> года</w:t>
      </w:r>
    </w:p>
    <w:p w:rsidR="00F13E37" w:rsidRPr="00DA60AF" w:rsidRDefault="00F13E37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1781" w:rsidRPr="00D71781" w:rsidRDefault="00D71781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территории Свердловской области</w:t>
      </w:r>
      <w:r w:rsidR="00300CD6" w:rsidRPr="00DA60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</w:t>
      </w: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январь 2021 г. зарегистрировано 17 (24; -37%) ДТП с участием несов</w:t>
      </w:r>
      <w:r w:rsidR="00C206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ершеннолетних, в которых 20 (30</w:t>
      </w: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-39,4%) детей получили травмы различной степени тяжести и 1 (0; +100%) погиб.</w:t>
      </w:r>
    </w:p>
    <w:p w:rsidR="00D71781" w:rsidRPr="00DA60AF" w:rsidRDefault="00D71781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Дорожно-транспортные происшествия, в результате которых пострадали дети, составили 8% от общего количества учетных дорожных аварий. Таким образом, дети стали участниками каждого 11 ДТП пострадавшими в регионе.</w:t>
      </w:r>
    </w:p>
    <w:p w:rsidR="00D71781" w:rsidRPr="00D71781" w:rsidRDefault="00D71781" w:rsidP="00D7178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ДТП с погибшим ребенком зарегистрировано в Каменске-Уральском (+100%):</w:t>
      </w:r>
    </w:p>
    <w:p w:rsidR="00D71781" w:rsidRPr="00DA60AF" w:rsidRDefault="00D71781" w:rsidP="00D71781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02.01.2021 года около 15 часов в </w:t>
      </w:r>
      <w:r w:rsidRPr="00DA60A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Каменском </w:t>
      </w:r>
      <w:r w:rsidRPr="00DA60A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городском округе, с. </w:t>
      </w:r>
      <w:proofErr w:type="spellStart"/>
      <w:r w:rsidRPr="00DA60A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Рыбников</w:t>
      </w:r>
      <w:r w:rsidR="00C2062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ское</w:t>
      </w:r>
      <w:proofErr w:type="spellEnd"/>
      <w:r w:rsidR="00C2062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напротив дома №22 по ул. </w:t>
      </w:r>
      <w:r w:rsidRPr="00DA60A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DA60A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автомобиля. </w:t>
      </w:r>
      <w:r w:rsidRPr="00D7178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От полученных травм мальчик скончался на месте происшествия.</w:t>
      </w:r>
      <w:r w:rsidRPr="00DA60A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DA60A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Погибший находился в сопровождении 14-летней сестры</w:t>
      </w:r>
      <w:r w:rsidRPr="00DA60A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и еще троих</w:t>
      </w:r>
      <w:r w:rsidRPr="00DA60A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DA60AF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60% (12) пострадавших в ДТП детей приходится на среднее школьное звено, 23% (5) на дошкольный возраст и 17% (4) на начальную школу, при этом большая часть из них пострадала в качестве пассажиров транспортных средств.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случая ДТП с пострадавшими детьми-пассажирами произошли по причине нарушения ПДД РФ водителем, в чьем автомобиле находились дети.</w:t>
      </w:r>
    </w:p>
    <w:p w:rsidR="00D71781" w:rsidRPr="00D71781" w:rsidRDefault="00D71781" w:rsidP="00D717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2E834F89" wp14:editId="7E8F0F5C">
            <wp:extent cx="2690853" cy="1848330"/>
            <wp:effectExtent l="0" t="0" r="1460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14D3F65" wp14:editId="1B85F304">
            <wp:extent cx="2750484" cy="1817594"/>
            <wp:effectExtent l="0" t="0" r="12065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50% (13) произошло снижение количества числа ДТП по причине нарушения ПДД РФ водителями автотранспортных средств, на 47% (17) раненых в них детей.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CC89473" wp14:editId="35F4023A">
            <wp:extent cx="5003816" cy="1820128"/>
            <wp:effectExtent l="0" t="0" r="6350" b="889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60% ДТП (12)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6D064E0C" wp14:editId="25ED208A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60% (12) происшествий с участием несовершеннолетних произошли 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(7 ДТП, 6 ранены, 1 погиб), когда дети возвращаются домой из образовательных организаций, учреждений дополнительного образования, находятся на улице и проезжей части без сопровождения взрослых.</w:t>
      </w:r>
    </w:p>
    <w:p w:rsidR="00D71781" w:rsidRPr="00D71781" w:rsidRDefault="00D71781" w:rsidP="00D7178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0" w:name="_GoBack"/>
      <w:bookmarkEnd w:id="0"/>
    </w:p>
    <w:p w:rsidR="00D71781" w:rsidRPr="00D71781" w:rsidRDefault="00D71781" w:rsidP="00D717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1506237B" wp14:editId="278BD4E4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</w:p>
    <w:p w:rsidR="00D71781" w:rsidRPr="00D71781" w:rsidRDefault="00D71781" w:rsidP="00D717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3A72F2F0" wp14:editId="66DEBF4C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        </w:t>
      </w:r>
      <w:r w:rsidRPr="00D717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С участием </w:t>
      </w:r>
      <w:r w:rsidRPr="00D71781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детей - пассажиров</w:t>
      </w: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8 (19; -62%) ДТП, в которых пострадали 12 (24; -54%) детей. Из них в возрасте до 12 лет травмированы 4 ребенка (16; -63,2%).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ДТП с участием детей - пассажиров от общего показателя аварийности с участием детей составила 40%.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A5DA5D9" wp14:editId="45B02423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анализе ДТП, в которых пострадали дети-пассажиры, установлено в Екатеринбурге 1 нарушение водителем правил перевозки детей, в котором пострадали 2 ребенка (3; -50%). Водитель перевозил детей на заднем пассажирском сидении в детских удерживающих устройствах, не соответствующих росту и весу юных пассажиров.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1167364C" wp14:editId="3F9AC472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расположения детей в транспортном средстве большая часть пострадавших приходится на заднее пассажирское сидение справа (7).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(5; -75%), количество травмированных в них детей снизилось на 68% (8).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Устойчивый рост количества ДТП с участием детей-пассажиров зарегистрирован с 12.00 до 21.30 (7 ДТП и 11 ранены), с максимальными значениями аварийности в период с 19.00 до 21.30 (4 ДТП, 7 ранены). Большинство аварий происходили в период с пятницы по воскресенье (5 ДТП, 9 ранены).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2F6F2427" wp14:editId="55CAC4BB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автомобильных дорогах, расположенных в черте населенных пунктов, зарегистрировано 15 ДТП (-11%), в которых пострадали 18 (-5%) детей и 1 погиб (+100%). На автомобильных дорогах вне населенных пунктов зарегистрировано 2 ДТП (-80%), травмированы 2 (-86%) ребенка. Из них, на дорогах федерального значения ДТП не зарегистрированы. На автомобильных дорогах регионального значения произошло 5 ДТП (-50%), в которых 4 (-69%) ребенка получили травмы различной степени тяжести и 1 погиб (+100%). На дорогах местного значения зарегистрировано 10 ДТП (- 33,3%), в которых травмированы 14 (-17,6%) детей.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5EEA2E98" wp14:editId="590A764D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1695632" wp14:editId="411C770F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</w:t>
      </w:r>
      <w:r w:rsidRPr="00D717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детей-пешеходов </w:t>
      </w: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зарегистрировано 9 (5; +50%) ДТП, в которых пострадали 8 (6; -14,3%) детей и 1 погиб (+100%). От общего показателя аварийности с участием несовершеннолетних доля ДТП с участием детей- пешеходов составила 60%.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300% (4) увеличилось количество ДТП и на 200% раненых (3) по собственной неосторожности несовершеннолетних пешеходов, 1 ребенок погиб.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третий наезд на ребенка (3 ДТП) совершен на нерегулируемом пешеходном переходе. В таких происшествиях </w:t>
      </w:r>
      <w:proofErr w:type="gramStart"/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травмированы</w:t>
      </w:r>
      <w:proofErr w:type="gramEnd"/>
      <w:r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юных пешехода (-25%). </w:t>
      </w:r>
    </w:p>
    <w:p w:rsidR="00D71781" w:rsidRPr="00D71781" w:rsidRDefault="00D71781" w:rsidP="00D71781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C104B72" wp14:editId="182B4748">
            <wp:extent cx="3365607" cy="1959428"/>
            <wp:effectExtent l="0" t="0" r="25400" b="222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200% (3) увеличилось количество происшествий с детьм</w:t>
      </w:r>
      <w:proofErr w:type="gramStart"/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и-</w:t>
      </w:r>
      <w:proofErr w:type="gramEnd"/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пешеходами 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Участниками каждого второго происшествия (55%; 5) стали дети-пешеходы в возрасте 9-11 лет. Все наезды произошли в городах и населенных пунктах. Наибольшие показатели количества ДТП с участием детей-пешеходов зафиксированы в субботу (3 ДТП), при этом 1 ребенок погиб. По времени совершения самым опасным является с 15 до 18 часов (6 ДТП; 66%) с максимальными значениями в период с 16 до 18 часов (5 ДТП). Минимальное количество ДТП по времени совершения произошло в период с 0 до 15 часов (1 ДТП).</w:t>
      </w:r>
    </w:p>
    <w:p w:rsidR="00D71781" w:rsidRPr="00D71781" w:rsidRDefault="00D71781" w:rsidP="00D7178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1781" w:rsidRPr="00D71781" w:rsidRDefault="00D71781" w:rsidP="00D7178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4F5A5A2A" wp14:editId="5841E243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71781" w:rsidRPr="00D71781" w:rsidRDefault="00D71781" w:rsidP="00D7178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количества ДТП на 37% и травмированных на 39,4%. При этом количество погибших выросло на 100%. 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4 ДТП из 17 и составляет 23% от общего количества дорожных аварий с участием детей</w:t>
      </w:r>
      <w:r w:rsidR="00F13E37" w:rsidRPr="00DA60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D71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Основным нарушением ПДД РФ, допущенным юными пешеходами, стал переход проезжей части в неустановленном месте (4).</w:t>
      </w:r>
    </w:p>
    <w:p w:rsidR="00D71781" w:rsidRPr="00D71781" w:rsidRDefault="00D71781" w:rsidP="00D7178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1781" w:rsidRPr="00DA60AF" w:rsidRDefault="00D71781" w:rsidP="00D7178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78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291F87B" wp14:editId="64F68636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C7279" w:rsidRPr="00DA60AF" w:rsidRDefault="002C7279" w:rsidP="00D7178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279" w:rsidRPr="00DA60AF" w:rsidRDefault="002C7279" w:rsidP="002C727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b/>
          <w:sz w:val="26"/>
          <w:szCs w:val="26"/>
        </w:rPr>
        <w:t xml:space="preserve">         На территории г. Ирбита и Ирбитского района </w:t>
      </w:r>
      <w:r w:rsidRPr="00DA60AF">
        <w:rPr>
          <w:rFonts w:ascii="Times New Roman" w:hAnsi="Times New Roman" w:cs="Times New Roman"/>
          <w:sz w:val="26"/>
          <w:szCs w:val="26"/>
        </w:rPr>
        <w:t>ДТП с участием детей</w:t>
      </w:r>
      <w:r w:rsidR="0013230C" w:rsidRPr="00DA60AF">
        <w:rPr>
          <w:rFonts w:ascii="Times New Roman" w:hAnsi="Times New Roman" w:cs="Times New Roman"/>
          <w:sz w:val="26"/>
          <w:szCs w:val="26"/>
        </w:rPr>
        <w:t xml:space="preserve"> не зарегистрировано (</w:t>
      </w:r>
      <w:r w:rsidRPr="00DA60AF">
        <w:rPr>
          <w:rFonts w:ascii="Times New Roman" w:hAnsi="Times New Roman" w:cs="Times New Roman"/>
          <w:sz w:val="26"/>
          <w:szCs w:val="26"/>
        </w:rPr>
        <w:t>АППГ-</w:t>
      </w:r>
      <w:r w:rsidR="0013230C" w:rsidRPr="00DA60AF">
        <w:rPr>
          <w:rFonts w:ascii="Times New Roman" w:hAnsi="Times New Roman" w:cs="Times New Roman"/>
          <w:sz w:val="26"/>
          <w:szCs w:val="26"/>
        </w:rPr>
        <w:t>1</w:t>
      </w:r>
      <w:r w:rsidR="00773167" w:rsidRPr="00DA60AF">
        <w:rPr>
          <w:rFonts w:ascii="Times New Roman" w:hAnsi="Times New Roman" w:cs="Times New Roman"/>
          <w:sz w:val="26"/>
          <w:szCs w:val="26"/>
        </w:rPr>
        <w:t>).</w:t>
      </w:r>
      <w:r w:rsidRPr="00DA60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37EC" w:rsidRPr="00DA60AF" w:rsidRDefault="00AA37EC" w:rsidP="00AA37EC">
      <w:pPr>
        <w:pStyle w:val="a5"/>
        <w:ind w:left="-567"/>
        <w:jc w:val="both"/>
      </w:pPr>
      <w:r w:rsidRPr="00DA60AF">
        <w:rPr>
          <w:b w:val="0"/>
          <w:i w:val="0"/>
        </w:rPr>
        <w:t xml:space="preserve">  </w:t>
      </w:r>
      <w:r w:rsidR="00096DA7">
        <w:rPr>
          <w:b w:val="0"/>
          <w:i w:val="0"/>
        </w:rPr>
        <w:t xml:space="preserve">       </w:t>
      </w:r>
      <w:r w:rsidRPr="00DA60AF">
        <w:t xml:space="preserve">Принимая во внимание результаты дифференцированного анализа детского дорожно-транспортного травматизма, </w:t>
      </w:r>
      <w:r w:rsidRPr="00DA60AF">
        <w:rPr>
          <w:lang w:eastAsia="ar-SA"/>
        </w:rPr>
        <w:t>прошу Вас:</w:t>
      </w:r>
    </w:p>
    <w:p w:rsidR="00AA37EC" w:rsidRPr="00DA60AF" w:rsidRDefault="00AA37EC" w:rsidP="00AA37EC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A37EC" w:rsidRPr="00DA60AF" w:rsidRDefault="00096DA7" w:rsidP="00AA37EC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</w:t>
      </w:r>
      <w:r w:rsidR="00AA37EC" w:rsidRPr="00DA60AF">
        <w:rPr>
          <w:rFonts w:ascii="Times New Roman" w:hAnsi="Times New Roman" w:cs="Times New Roman"/>
          <w:sz w:val="26"/>
          <w:szCs w:val="26"/>
          <w:lang w:eastAsia="ar-SA"/>
        </w:rPr>
        <w:t>1. Вышеуказанный анализ разместить в уголках, стендах, родительских центрах по БДД, а также электронных дневниках, сайтах образовательных организаций в разделе «Дорожная безопасность» без персональных данных участников ДТП.</w:t>
      </w:r>
    </w:p>
    <w:p w:rsidR="00AA37EC" w:rsidRPr="00DA60AF" w:rsidRDefault="00096DA7" w:rsidP="00096DA7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A37EC" w:rsidRPr="00DA60AF">
        <w:rPr>
          <w:rFonts w:ascii="Times New Roman" w:hAnsi="Times New Roman" w:cs="Times New Roman"/>
          <w:color w:val="000000"/>
          <w:sz w:val="26"/>
          <w:szCs w:val="26"/>
        </w:rPr>
        <w:t>2. Продолжить работу, в том числе в дистанционной форме, по разъяснению несовершеннолетним участникам дорожного движения правил безопасного перехода проезжей части, опасности использования мобильных гаджетов, наушников, капюшонов</w:t>
      </w:r>
      <w:r w:rsidR="008B7C41" w:rsidRPr="00DA60A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B7C41" w:rsidRPr="00DA6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7C41"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выборе безопасных мест для катания при использовании санок, бубликов, </w:t>
      </w:r>
      <w:proofErr w:type="spellStart"/>
      <w:r w:rsidR="008B7C41"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снегокатов</w:t>
      </w:r>
      <w:proofErr w:type="spellEnd"/>
      <w:r w:rsidR="008B7C41" w:rsidRPr="00D71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зимних средств передвижения</w:t>
      </w:r>
      <w:r w:rsidR="008B7C41" w:rsidRPr="00DA6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37EC" w:rsidRPr="00DA60AF">
        <w:rPr>
          <w:rFonts w:ascii="Times New Roman" w:hAnsi="Times New Roman" w:cs="Times New Roman"/>
          <w:color w:val="000000"/>
          <w:sz w:val="26"/>
          <w:szCs w:val="26"/>
        </w:rPr>
        <w:t>с привлечением сотрудников Госавтоинспекции.</w:t>
      </w:r>
    </w:p>
    <w:p w:rsidR="00AA37EC" w:rsidRPr="00DA60AF" w:rsidRDefault="00096DA7" w:rsidP="00AA37EC">
      <w:pPr>
        <w:pStyle w:val="a7"/>
        <w:tabs>
          <w:tab w:val="left" w:pos="851"/>
        </w:tabs>
        <w:ind w:left="-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AA37EC" w:rsidRPr="00DA60AF">
        <w:rPr>
          <w:color w:val="000000"/>
          <w:sz w:val="26"/>
          <w:szCs w:val="26"/>
        </w:rPr>
        <w:t xml:space="preserve">3. Организовать проведение </w:t>
      </w:r>
      <w:r w:rsidR="00AA37EC" w:rsidRPr="00DA60AF">
        <w:rPr>
          <w:sz w:val="26"/>
          <w:szCs w:val="26"/>
        </w:rPr>
        <w:t xml:space="preserve">практических занятий </w:t>
      </w:r>
      <w:r w:rsidR="00AA37EC" w:rsidRPr="00DA60AF">
        <w:rPr>
          <w:color w:val="000000"/>
          <w:sz w:val="26"/>
          <w:szCs w:val="26"/>
        </w:rPr>
        <w:t xml:space="preserve">на учебно-тренировочных перекрестках «Шагающий автобус» по </w:t>
      </w:r>
      <w:r w:rsidR="00AA37EC" w:rsidRPr="00DA60AF">
        <w:rPr>
          <w:sz w:val="26"/>
          <w:szCs w:val="26"/>
        </w:rPr>
        <w:t>разъяснению правил безопасного перехода проезжей част</w:t>
      </w:r>
      <w:r w:rsidR="00E05AAC">
        <w:rPr>
          <w:sz w:val="26"/>
          <w:szCs w:val="26"/>
        </w:rPr>
        <w:t xml:space="preserve">и, обязательному использованию </w:t>
      </w:r>
      <w:proofErr w:type="spellStart"/>
      <w:r w:rsidR="00AA37EC" w:rsidRPr="00DA60AF">
        <w:rPr>
          <w:sz w:val="26"/>
          <w:szCs w:val="26"/>
        </w:rPr>
        <w:t>световозвращающих</w:t>
      </w:r>
      <w:proofErr w:type="spellEnd"/>
      <w:r w:rsidR="00AA37EC" w:rsidRPr="00DA60AF">
        <w:rPr>
          <w:sz w:val="26"/>
          <w:szCs w:val="26"/>
        </w:rPr>
        <w:t xml:space="preserve"> элементов в темное время суток.</w:t>
      </w:r>
    </w:p>
    <w:p w:rsidR="00AA37EC" w:rsidRPr="00DA60AF" w:rsidRDefault="00096DA7" w:rsidP="00AA37E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A37EC" w:rsidRPr="00DA60AF">
        <w:rPr>
          <w:rFonts w:ascii="Times New Roman" w:hAnsi="Times New Roman" w:cs="Times New Roman"/>
          <w:color w:val="000000"/>
          <w:sz w:val="26"/>
          <w:szCs w:val="26"/>
        </w:rPr>
        <w:t xml:space="preserve">4. Продолжить работу с родителями, в том числе в дистанционной форме, в ходе бесед довести информацию об опасности передачи управления транспортным средством несовершеннолетним лицам, не прошедшим обучение в специализированных </w:t>
      </w:r>
      <w:r w:rsidR="00AA37EC" w:rsidRPr="00DA60A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организациях и не имеющих специального права управления, также </w:t>
      </w:r>
      <w:r w:rsidR="00AA37EC" w:rsidRPr="00DA60AF">
        <w:rPr>
          <w:rFonts w:ascii="Times New Roman" w:hAnsi="Times New Roman" w:cs="Times New Roman"/>
          <w:sz w:val="26"/>
          <w:szCs w:val="26"/>
        </w:rPr>
        <w:t>акцентировать внимание законных представителей при перевозке детей к аккуратному вождению, о необходимости снижения скоростного режима и использования пассивных мер безопасности (ДУУ, ремни безопасности).</w:t>
      </w:r>
    </w:p>
    <w:p w:rsidR="00AA37EC" w:rsidRPr="00096DA7" w:rsidRDefault="00AA37EC" w:rsidP="00096DA7">
      <w:pPr>
        <w:pStyle w:val="a7"/>
        <w:numPr>
          <w:ilvl w:val="0"/>
          <w:numId w:val="3"/>
        </w:numPr>
        <w:ind w:left="-567" w:firstLine="627"/>
        <w:jc w:val="both"/>
        <w:rPr>
          <w:sz w:val="26"/>
          <w:szCs w:val="26"/>
        </w:rPr>
      </w:pPr>
      <w:r w:rsidRPr="00096DA7">
        <w:rPr>
          <w:color w:val="000000"/>
          <w:sz w:val="26"/>
          <w:szCs w:val="26"/>
        </w:rPr>
        <w:t>Организовать проведение социально-значимых мероприятий, направленных на повышение культуры юных участников дорожного движения. К проведению мероприятий привлекать родительские патрули, представителей других общественных организаций, отряды юных инспекторов движения.</w:t>
      </w:r>
    </w:p>
    <w:p w:rsidR="00AA37EC" w:rsidRPr="00DA60AF" w:rsidRDefault="00AA37EC" w:rsidP="000559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40" w:lineRule="auto"/>
        <w:ind w:left="-567" w:firstLine="62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AA37EC" w:rsidRPr="00DA60AF" w:rsidRDefault="00AA37EC" w:rsidP="000559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A37EC" w:rsidRPr="00DA60AF" w:rsidRDefault="00AA37EC" w:rsidP="000559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sz w:val="26"/>
          <w:szCs w:val="26"/>
          <w:lang w:eastAsia="ar-SA"/>
        </w:rPr>
        <w:t>Врио начальника ОГИБДД</w:t>
      </w:r>
    </w:p>
    <w:p w:rsidR="00327DFA" w:rsidRPr="00055995" w:rsidRDefault="00AA37EC" w:rsidP="000559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A60AF">
        <w:rPr>
          <w:rFonts w:ascii="Times New Roman" w:hAnsi="Times New Roman" w:cs="Times New Roman"/>
          <w:sz w:val="26"/>
          <w:szCs w:val="26"/>
          <w:lang w:eastAsia="ar-SA"/>
        </w:rPr>
        <w:t xml:space="preserve">капитан полиции                                                                          </w:t>
      </w:r>
      <w:r w:rsidR="00096DA7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 w:rsidRPr="00DA60A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С.А. Тропин</w:t>
      </w:r>
    </w:p>
    <w:sectPr w:rsidR="00327DFA" w:rsidRPr="00055995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1C" w:rsidRDefault="00272A1C">
      <w:pPr>
        <w:spacing w:after="0" w:line="240" w:lineRule="auto"/>
      </w:pPr>
      <w:r>
        <w:separator/>
      </w:r>
    </w:p>
  </w:endnote>
  <w:endnote w:type="continuationSeparator" w:id="0">
    <w:p w:rsidR="00272A1C" w:rsidRDefault="0027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1C" w:rsidRDefault="00272A1C">
      <w:pPr>
        <w:spacing w:after="0" w:line="240" w:lineRule="auto"/>
      </w:pPr>
      <w:r>
        <w:separator/>
      </w:r>
    </w:p>
  </w:footnote>
  <w:footnote w:type="continuationSeparator" w:id="0">
    <w:p w:rsidR="00272A1C" w:rsidRDefault="0027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F52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AC">
          <w:rPr>
            <w:noProof/>
          </w:rPr>
          <w:t>2</w:t>
        </w:r>
        <w:r>
          <w:fldChar w:fldCharType="end"/>
        </w:r>
      </w:p>
    </w:sdtContent>
  </w:sdt>
  <w:p w:rsidR="006332CD" w:rsidRDefault="00272A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1305" w:hanging="360"/>
      </w:pPr>
      <w:rPr>
        <w:rFonts w:hint="default"/>
        <w:sz w:val="28"/>
        <w:szCs w:val="28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4D"/>
    <w:rsid w:val="00055995"/>
    <w:rsid w:val="000917BA"/>
    <w:rsid w:val="00096DA7"/>
    <w:rsid w:val="0013230C"/>
    <w:rsid w:val="00272A1C"/>
    <w:rsid w:val="002C7279"/>
    <w:rsid w:val="00300CD6"/>
    <w:rsid w:val="00327DFA"/>
    <w:rsid w:val="00773167"/>
    <w:rsid w:val="008B7C41"/>
    <w:rsid w:val="00AA37EC"/>
    <w:rsid w:val="00C2062F"/>
    <w:rsid w:val="00CF000F"/>
    <w:rsid w:val="00D71781"/>
    <w:rsid w:val="00DA60AF"/>
    <w:rsid w:val="00DD44C6"/>
    <w:rsid w:val="00E05AAC"/>
    <w:rsid w:val="00F1134D"/>
    <w:rsid w:val="00F13E37"/>
    <w:rsid w:val="00F521E9"/>
    <w:rsid w:val="00F7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71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A37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a6">
    <w:name w:val="Основной текст Знак"/>
    <w:basedOn w:val="a0"/>
    <w:link w:val="a5"/>
    <w:rsid w:val="00AA37E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a7">
    <w:name w:val="List Paragraph"/>
    <w:basedOn w:val="a"/>
    <w:qFormat/>
    <w:rsid w:val="00AA37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5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1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71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A37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a6">
    <w:name w:val="Основной текст Знак"/>
    <w:basedOn w:val="a0"/>
    <w:link w:val="a5"/>
    <w:rsid w:val="00AA37E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a7">
    <w:name w:val="List Paragraph"/>
    <w:basedOn w:val="a"/>
    <w:qFormat/>
    <w:rsid w:val="00AA37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5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5.18417173109334E-2"/>
                  <c:y val="7.5700999802770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367434-FCC1-47BC-AC4B-28A4FAB6EB05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8220380302291563E-2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756E-2"/>
                  <c:y val="-3.08285163776493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F614ED4-3FA2-48F6-A79E-87CBBF56330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776206728425158E-2"/>
                  <c:y val="-2.420038535645472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4305216967334"/>
                      <c:h val="0.27360308285163776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Арти</c:v>
                </c:pt>
                <c:pt idx="1">
                  <c:v>Каменск-Уральский</c:v>
                </c:pt>
                <c:pt idx="2">
                  <c:v>Екатеринбург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464128"/>
        <c:axId val="142465664"/>
      </c:barChart>
      <c:catAx>
        <c:axId val="14246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465664"/>
        <c:crosses val="autoZero"/>
        <c:auto val="1"/>
        <c:lblAlgn val="ctr"/>
        <c:lblOffset val="100"/>
        <c:noMultiLvlLbl val="0"/>
      </c:catAx>
      <c:valAx>
        <c:axId val="14246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46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320576"/>
        <c:axId val="143322112"/>
      </c:barChart>
      <c:catAx>
        <c:axId val="14332057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22112"/>
        <c:crosses val="autoZero"/>
        <c:auto val="1"/>
        <c:lblAlgn val="ctr"/>
        <c:lblOffset val="100"/>
        <c:tickLblSkip val="1"/>
        <c:noMultiLvlLbl val="0"/>
      </c:catAx>
      <c:valAx>
        <c:axId val="14332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2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5762176"/>
        <c:axId val="145763712"/>
      </c:barChart>
      <c:catAx>
        <c:axId val="14576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3712"/>
        <c:crosses val="autoZero"/>
        <c:auto val="1"/>
        <c:lblAlgn val="ctr"/>
        <c:lblOffset val="100"/>
        <c:noMultiLvlLbl val="0"/>
      </c:catAx>
      <c:valAx>
        <c:axId val="14576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2053838747543489E-2"/>
                  <c:y val="-1.87288056882798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3"/>
                  <c:y val="-6.1695511411327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383E-2"/>
                  <c:y val="-9.104547210786500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797E-2"/>
                  <c:y val="-0.16468230811250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225856"/>
        <c:axId val="151227392"/>
      </c:barChart>
      <c:catAx>
        <c:axId val="15122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27392"/>
        <c:crosses val="autoZero"/>
        <c:auto val="1"/>
        <c:lblAlgn val="ctr"/>
        <c:lblOffset val="100"/>
        <c:noMultiLvlLbl val="0"/>
      </c:catAx>
      <c:valAx>
        <c:axId val="151227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2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красотка!</dc:creator>
  <cp:keywords/>
  <dc:description/>
  <cp:lastModifiedBy>Polyanskaya</cp:lastModifiedBy>
  <cp:revision>7</cp:revision>
  <cp:lastPrinted>2021-02-25T06:15:00Z</cp:lastPrinted>
  <dcterms:created xsi:type="dcterms:W3CDTF">2021-02-25T05:53:00Z</dcterms:created>
  <dcterms:modified xsi:type="dcterms:W3CDTF">2021-02-26T11:58:00Z</dcterms:modified>
</cp:coreProperties>
</file>